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42" w:rsidRPr="007F2E42" w:rsidRDefault="007F2E42" w:rsidP="007F2E42">
      <w:pPr>
        <w:shd w:val="clear" w:color="auto" w:fill="FFFFFF"/>
        <w:spacing w:before="370" w:after="0" w:line="38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экст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F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емизма</w:t>
      </w:r>
    </w:p>
    <w:p w:rsidR="007F2E42" w:rsidRPr="007F2E42" w:rsidRDefault="007F2E42" w:rsidP="007F2E42">
      <w:pPr>
        <w:shd w:val="clear" w:color="auto" w:fill="FFFFFF"/>
        <w:spacing w:before="370" w:after="0" w:line="382" w:lineRule="atLeast"/>
        <w:textAlignment w:val="baseline"/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</w:pPr>
      <w:r w:rsidRPr="007F2E42">
        <w:rPr>
          <w:rFonts w:ascii="Rubik-Bold" w:eastAsia="Times New Roman" w:hAnsi="Rubik-Bold" w:cs="Times New Roman"/>
          <w:b/>
          <w:bCs/>
          <w:color w:val="000000"/>
          <w:sz w:val="23"/>
          <w:szCs w:val="23"/>
          <w:lang w:eastAsia="ru-RU"/>
        </w:rPr>
        <w:t>Информационные ресурсы</w:t>
      </w:r>
    </w:p>
    <w:tbl>
      <w:tblPr>
        <w:tblW w:w="110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6"/>
        <w:gridCol w:w="4252"/>
      </w:tblGrid>
      <w:tr w:rsidR="007F2E42" w:rsidRPr="007F2E42" w:rsidTr="007F2E42">
        <w:tc>
          <w:tcPr>
            <w:tcW w:w="6776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Адрес сайта</w:t>
            </w:r>
          </w:p>
        </w:tc>
      </w:tr>
      <w:tr w:rsidR="007F2E42" w:rsidRPr="007F2E42" w:rsidTr="007F2E42">
        <w:tc>
          <w:tcPr>
            <w:tcW w:w="6776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ФСБ</w:t>
            </w:r>
          </w:p>
        </w:tc>
        <w:tc>
          <w:tcPr>
            <w:tcW w:w="4252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hyperlink r:id="rId4" w:history="1">
              <w:r w:rsidRPr="007F2E42">
                <w:rPr>
                  <w:rFonts w:ascii="inherit" w:eastAsia="Times New Roman" w:hAnsi="inherit" w:cs="Times New Roman"/>
                  <w:color w:val="0000FF"/>
                  <w:u w:val="single"/>
                  <w:lang w:eastAsia="ru-RU"/>
                </w:rPr>
                <w:t>http://www.fsb.ru/</w:t>
              </w:r>
            </w:hyperlink>
          </w:p>
        </w:tc>
      </w:tr>
      <w:tr w:rsidR="007F2E42" w:rsidRPr="007F2E42" w:rsidTr="007F2E42">
        <w:tc>
          <w:tcPr>
            <w:tcW w:w="6776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Национальный антитеррористический комитет России</w:t>
            </w:r>
          </w:p>
        </w:tc>
        <w:tc>
          <w:tcPr>
            <w:tcW w:w="4252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hyperlink r:id="rId5" w:history="1">
              <w:r w:rsidRPr="007F2E42">
                <w:rPr>
                  <w:rFonts w:ascii="inherit" w:eastAsia="Times New Roman" w:hAnsi="inherit" w:cs="Times New Roman"/>
                  <w:color w:val="0000FF"/>
                  <w:u w:val="single"/>
                  <w:lang w:eastAsia="ru-RU"/>
                </w:rPr>
                <w:t>http://nac.gov.ru/</w:t>
              </w:r>
            </w:hyperlink>
          </w:p>
        </w:tc>
      </w:tr>
      <w:tr w:rsidR="007F2E42" w:rsidRPr="007F2E42" w:rsidTr="007F2E42">
        <w:tc>
          <w:tcPr>
            <w:tcW w:w="6776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Национальный центр информационного противодействия терроризму и экстремизму в системе образования и сети Интернет</w:t>
            </w:r>
          </w:p>
        </w:tc>
        <w:tc>
          <w:tcPr>
            <w:tcW w:w="4252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hyperlink r:id="rId6" w:history="1">
              <w:r w:rsidRPr="007F2E42">
                <w:rPr>
                  <w:rFonts w:ascii="inherit" w:eastAsia="Times New Roman" w:hAnsi="inherit" w:cs="Times New Roman"/>
                  <w:color w:val="0000FF"/>
                  <w:u w:val="single"/>
                  <w:lang w:eastAsia="ru-RU"/>
                </w:rPr>
                <w:t>http://xn--h1ajgms.xn--p1ai/</w:t>
              </w:r>
            </w:hyperlink>
          </w:p>
        </w:tc>
      </w:tr>
      <w:tr w:rsidR="007F2E42" w:rsidRPr="007F2E42" w:rsidTr="007F2E42">
        <w:tc>
          <w:tcPr>
            <w:tcW w:w="6776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Международная ассоциация ветеранов подразделения антитеррора «Альфа»</w:t>
            </w:r>
          </w:p>
        </w:tc>
        <w:tc>
          <w:tcPr>
            <w:tcW w:w="4252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hyperlink r:id="rId7" w:history="1">
              <w:r w:rsidRPr="007F2E42">
                <w:rPr>
                  <w:rFonts w:ascii="inherit" w:eastAsia="Times New Roman" w:hAnsi="inherit" w:cs="Times New Roman"/>
                  <w:color w:val="0000FF"/>
                  <w:u w:val="single"/>
                  <w:lang w:eastAsia="ru-RU"/>
                </w:rPr>
                <w:t>http://www.alphagroup.ru/</w:t>
              </w:r>
            </w:hyperlink>
          </w:p>
        </w:tc>
      </w:tr>
      <w:tr w:rsidR="007F2E42" w:rsidRPr="007F2E42" w:rsidTr="007F2E42">
        <w:tc>
          <w:tcPr>
            <w:tcW w:w="6776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Детский журнал «Спасайкин»</w:t>
            </w:r>
          </w:p>
        </w:tc>
        <w:tc>
          <w:tcPr>
            <w:tcW w:w="4252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hyperlink r:id="rId8" w:history="1">
              <w:r w:rsidRPr="007F2E42">
                <w:rPr>
                  <w:rFonts w:ascii="inherit" w:eastAsia="Times New Roman" w:hAnsi="inherit" w:cs="Times New Roman"/>
                  <w:color w:val="0000FF"/>
                  <w:u w:val="single"/>
                  <w:lang w:eastAsia="ru-RU"/>
                </w:rPr>
                <w:t>http://spasay-kin.ru/</w:t>
              </w:r>
            </w:hyperlink>
          </w:p>
        </w:tc>
      </w:tr>
      <w:tr w:rsidR="007F2E42" w:rsidRPr="007F2E42" w:rsidTr="007F2E42">
        <w:tc>
          <w:tcPr>
            <w:tcW w:w="6776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r w:rsidRPr="007F2E42">
              <w:rPr>
                <w:rFonts w:ascii="Rubik-Regular" w:eastAsia="Times New Roman" w:hAnsi="Rubik-Regular" w:cs="Times New Roman"/>
                <w:color w:val="000000"/>
                <w:lang w:eastAsia="ru-RU"/>
              </w:rPr>
              <w:t>Детям России. Военно-патриотический центр «Вымпел»</w:t>
            </w:r>
          </w:p>
        </w:tc>
        <w:tc>
          <w:tcPr>
            <w:tcW w:w="4252" w:type="dxa"/>
            <w:tcBorders>
              <w:top w:val="single" w:sz="4" w:space="0" w:color="D5DAE0"/>
              <w:left w:val="single" w:sz="4" w:space="0" w:color="D5DAE0"/>
              <w:bottom w:val="single" w:sz="4" w:space="0" w:color="D5DAE0"/>
              <w:right w:val="single" w:sz="4" w:space="0" w:color="D5DAE0"/>
            </w:tcBorders>
            <w:shd w:val="clear" w:color="auto" w:fill="F7F7F5"/>
            <w:tcMar>
              <w:top w:w="217" w:type="dxa"/>
              <w:left w:w="255" w:type="dxa"/>
              <w:bottom w:w="217" w:type="dxa"/>
              <w:right w:w="255" w:type="dxa"/>
            </w:tcMar>
            <w:hideMark/>
          </w:tcPr>
          <w:p w:rsidR="007F2E42" w:rsidRPr="007F2E42" w:rsidRDefault="007F2E42" w:rsidP="007F2E42">
            <w:pPr>
              <w:spacing w:after="0" w:line="280" w:lineRule="atLeast"/>
              <w:rPr>
                <w:rFonts w:ascii="Rubik-Regular" w:eastAsia="Times New Roman" w:hAnsi="Rubik-Regular" w:cs="Times New Roman"/>
                <w:color w:val="000000"/>
                <w:lang w:eastAsia="ru-RU"/>
              </w:rPr>
            </w:pPr>
            <w:hyperlink r:id="rId9" w:history="1">
              <w:r w:rsidRPr="007F2E42">
                <w:rPr>
                  <w:rFonts w:ascii="inherit" w:eastAsia="Times New Roman" w:hAnsi="inherit" w:cs="Times New Roman"/>
                  <w:color w:val="0000FF"/>
                  <w:u w:val="single"/>
                  <w:lang w:eastAsia="ru-RU"/>
                </w:rPr>
                <w:t>http://vpc-vympel.ru/</w:t>
              </w:r>
            </w:hyperlink>
          </w:p>
        </w:tc>
      </w:tr>
    </w:tbl>
    <w:p w:rsidR="007F2E42" w:rsidRPr="007F2E42" w:rsidRDefault="007F2E42" w:rsidP="007F2E42">
      <w:pPr>
        <w:shd w:val="clear" w:color="auto" w:fill="FFFFFF"/>
        <w:spacing w:before="370" w:after="0" w:line="382" w:lineRule="atLeast"/>
        <w:textAlignment w:val="baseline"/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</w:pPr>
      <w:r w:rsidRPr="007F2E42">
        <w:rPr>
          <w:rFonts w:ascii="Rubik-Bold" w:eastAsia="Times New Roman" w:hAnsi="Rubik-Bold" w:cs="Times New Roman"/>
          <w:b/>
          <w:bCs/>
          <w:color w:val="000000"/>
          <w:sz w:val="23"/>
          <w:szCs w:val="23"/>
          <w:lang w:eastAsia="ru-RU"/>
        </w:rPr>
        <w:t>Опыт регионов России</w:t>
      </w:r>
    </w:p>
    <w:p w:rsidR="007F2E42" w:rsidRPr="007F2E42" w:rsidRDefault="007F2E42" w:rsidP="007F2E42">
      <w:pPr>
        <w:shd w:val="clear" w:color="auto" w:fill="FFFFFF"/>
        <w:spacing w:after="0" w:line="382" w:lineRule="atLeast"/>
        <w:textAlignment w:val="baseline"/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</w:pPr>
      <w:hyperlink r:id="rId10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Безопасный интернет детям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1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Уфа. Методические материалы по профилактике терроризма и экстремизма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2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Профилактика экстремизма в молодёжной среде, безнадзорности и правонарушений несовершеннолетних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3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Екатеринбург. Возможности профилактики националистического экстремизма в образовательных учреждениях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4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Барнаул. Информационно-аналитические материалы и методические рекомендации по организации профилактики экстремистских проявлений в молодежной среде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5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Петрозаводск. Профилактика экстремизма и терроризма</w:t>
        </w:r>
      </w:hyperlink>
      <w:hyperlink r:id="rId16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 в молодежной среде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7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Киров. Профилактика экстремизма и насилия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8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Москва. Опыт патриотического воспитания и профилактики экстремизма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19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Противодействие экстремизму и профилактика терроризма в современных образовательных организациях (на примере ФГБОУ ВПО СевКавГГТА)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0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Методические рекомендации о городской недели по профилактике экстремизма в подростковой среде «Единство многообразия»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1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Санкт-Петербург. Методические рекомендации «О современных формах работы с обучающимися образовательных учреждений по профилактике экстремистских проявлений среди несовершеннолетних»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2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Вологда. Профилактика экстремизма в подростково-молодежной среде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3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Сыктывкар. Профилактика экстремизма, национализма и укрепление межнациональных и межкультурных отношений в условиях работы образовательных организаций общего образования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t> </w:t>
      </w:r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4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Саратов. Рабочая программа дисциплины (модуля) «Экстремизм в молодежной среде»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5" w:history="1">
        <w:r w:rsidRPr="007F2E42">
          <w:rPr>
            <w:rFonts w:ascii="Rubik-Regular" w:eastAsia="Times New Roman" w:hAnsi="Rubik-Regular" w:cs="Times New Roman"/>
            <w:color w:val="3A75C4"/>
            <w:sz w:val="23"/>
            <w:lang w:eastAsia="ru-RU"/>
          </w:rPr>
          <w:t>Екатеринбург. Пропаганда толерантности и профилактика экстремизма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6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Ростов-на-Дону. Лекции для индивидуальной пропагандистской деятельности, отдельные образцы пропагандистских материалов</w:t>
        </w:r>
      </w:hyperlink>
    </w:p>
    <w:p w:rsidR="007F2E42" w:rsidRPr="007F2E42" w:rsidRDefault="007F2E42" w:rsidP="007F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black" stroked="f"/>
        </w:pict>
      </w:r>
    </w:p>
    <w:p w:rsidR="007F2E42" w:rsidRPr="007F2E42" w:rsidRDefault="007F2E42" w:rsidP="007F2E42">
      <w:pPr>
        <w:shd w:val="clear" w:color="auto" w:fill="FFFFFF"/>
        <w:spacing w:before="370" w:after="0" w:line="382" w:lineRule="atLeast"/>
        <w:textAlignment w:val="baseline"/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</w:pPr>
      <w:r w:rsidRPr="007F2E42">
        <w:rPr>
          <w:rFonts w:ascii="Rubik-Bold" w:eastAsia="Times New Roman" w:hAnsi="Rubik-Bold" w:cs="Times New Roman"/>
          <w:b/>
          <w:bCs/>
          <w:color w:val="000000"/>
          <w:sz w:val="23"/>
          <w:szCs w:val="23"/>
          <w:lang w:eastAsia="ru-RU"/>
        </w:rPr>
        <w:t>Нормативные документы</w:t>
      </w:r>
    </w:p>
    <w:p w:rsidR="007F2E42" w:rsidRPr="007F2E42" w:rsidRDefault="007F2E42" w:rsidP="007F2E42">
      <w:pPr>
        <w:shd w:val="clear" w:color="auto" w:fill="FFFFFF"/>
        <w:spacing w:after="0" w:line="382" w:lineRule="atLeast"/>
        <w:textAlignment w:val="baseline"/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</w:pPr>
      <w:hyperlink r:id="rId27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Комплексный план до 2025 года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8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Федеральный закон № 35-ФЗ от 06.03.2006 (ред. от 31.12.2014) "Противодействие терроризму"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29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Федеральный закон от 25 июля 2002 г. N 114-ФЗ "О противодействии экстремистской деятельности"</w:t>
        </w:r>
      </w:hyperlink>
      <w:r w:rsidRPr="007F2E42">
        <w:rPr>
          <w:rFonts w:ascii="Rubik-Regular" w:eastAsia="Times New Roman" w:hAnsi="Rubik-Regular" w:cs="Times New Roman"/>
          <w:color w:val="000000"/>
          <w:sz w:val="23"/>
          <w:szCs w:val="23"/>
          <w:lang w:eastAsia="ru-RU"/>
        </w:rPr>
        <w:br/>
      </w:r>
      <w:hyperlink r:id="rId30" w:history="1">
        <w:r w:rsidRPr="007F2E42">
          <w:rPr>
            <w:rFonts w:ascii="Rubik-Regular" w:eastAsia="Times New Roman" w:hAnsi="Rubik-Regular" w:cs="Times New Roman"/>
            <w:color w:val="3A75C4"/>
            <w:sz w:val="23"/>
            <w:u w:val="single"/>
            <w:lang w:eastAsia="ru-RU"/>
          </w:rPr>
          <w:t>Методические рекомендации по профилактике и противодействию экстремизму в молодежной среде (разработаны Минспорттуризмом России совместно с МВД России и ФСБ России)</w:t>
        </w:r>
      </w:hyperlink>
    </w:p>
    <w:p w:rsidR="00B97283" w:rsidRDefault="00B97283" w:rsidP="007F2E42"/>
    <w:sectPr w:rsidR="00B97283" w:rsidSect="007F2E42">
      <w:pgSz w:w="11906" w:h="16838"/>
      <w:pgMar w:top="426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7F2E42"/>
    <w:rsid w:val="007F2E42"/>
    <w:rsid w:val="00B9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/" TargetMode="External"/><Relationship Id="rId13" Type="http://schemas.openxmlformats.org/officeDocument/2006/relationships/hyperlink" Target="https://rostov-gorod.ru/upload/medialibrary/126/vozmozhnosti-profilaktiki-natsionalisticheskogo-ekstremizma-v-obrazovatelnyh-uchrezhdeniyah.pdf" TargetMode="External"/><Relationship Id="rId18" Type="http://schemas.openxmlformats.org/officeDocument/2006/relationships/hyperlink" Target="https://rostov-gorod.ru/upload/medialibrary/fb2/%D0%9C%D0%BE%D1%81%D0%BA%D0%B2%D0%B0%20%D0%9F%D1%80%D0%BE%D1%84%D0%B8%D0%BB%D0%B0%D1%82%D0%B8%D0%BA%D0%B0%20%D1%8D%D0%BA%D1%81%D1%82%D1%80%D0%B5%D0%BC%D0%B8%D0%B7%D0%BC%D0%B0.pdf" TargetMode="External"/><Relationship Id="rId26" Type="http://schemas.openxmlformats.org/officeDocument/2006/relationships/hyperlink" Target="https://rostov-gorod.ru/upload/medialibrary/224/%D0%AE%D0%A4%D0%A3%20%D0%BB%D0%B5%D0%BA%D1%86%D0%B8%D0%B8%20%D0%BF%D0%BE%20%D0%BF%D1%80%D0%BE%D1%84%D0%B8%D0%BB%D0%B0%D0%BA%D1%82%D0%B8%D0%BA%D0%B5%20%D1%8D%D0%BA%D1%81%D1%82%D1%80%D0%B5%D0%BC%D0%B8%D0%B7%D0%BC%D0%B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stov-gorod.ru/upload/medialibrary/c42/%D0%9F%D0%B5%D1%82%D0%B5%D1%80%D0%B1%D1%83%D1%80%D0%B3%20%D0%BF%D1%80%D0%BE%D1%84%D0%B8%D0%BB%D0%B0%D0%BA%D1%82%D0%B8%D0%BA%D0%B0%20%D1%8D%D0%BA%D1%81%D1%82%D1%80%D0%B5%D0%BC%D0%B8%D1%81%D1%82%D1%81%D0%BA%D0%B8%D1%85%20%D0%BF%D1%80%D0%BE%D1%8F%D0%B2%D0%BB%D0%B5%D0%BD%D0%B8%D0%B9.pdf" TargetMode="External"/><Relationship Id="rId7" Type="http://schemas.openxmlformats.org/officeDocument/2006/relationships/hyperlink" Target="http://www.alphagroup.ru/" TargetMode="External"/><Relationship Id="rId12" Type="http://schemas.openxmlformats.org/officeDocument/2006/relationships/hyperlink" Target="https://rostov-gorod.ru/upload/medialibrary/9bc/rekomendacii_po_prof_pravonarushenij.pdf" TargetMode="External"/><Relationship Id="rId17" Type="http://schemas.openxmlformats.org/officeDocument/2006/relationships/hyperlink" Target="https://rostov-gorod.ru/upload/medialibrary/b50/%D0%9A%D0%B8%D1%80%D0%BE%D0%B2%20%D0%A1%D0%B1%D0%BE%D1%80%D0%BD%D0%B8%D0%BA-3.-%D0%9F%D1%80%D0%BE%D1%84%D0%B8%D0%BB%D0%B0%D0%BA%D1%82%D0%B8%D0%BA%D0%B0-%D1%8D%D0%BA%D1%81%D1%82%D1%80%D0%B5%D0%BC%D0%B8%D0%B7%D0%BC%D0%B0-%D0%B8-%D0%BD%D0%B0%D1%81%D0%B8%D0%BB%D0%B8%D1%8F..pdf" TargetMode="External"/><Relationship Id="rId25" Type="http://schemas.openxmlformats.org/officeDocument/2006/relationships/hyperlink" Target="https://rostov-gorod.ru/upload/medialibrary/372/%D0%A1%D0%B2%D0%B5%D1%80%D0%B4%D0%BB%D0%BE%D0%B2%D1%81%D0%BA%20%D0%BF%D1%80%D0%BE%D1%84%D0%B8%D0%BB%D0%B0%D0%BA%D1%82%D0%B8%D0%BA%D0%B0%20%D1%8D%D0%BA%D1%81%D1%82%D1%80%D0%B5%D0%BC%D0%B8%D0%B7%D0%BC%D0%B0%20%D0%B8%20%D0%BF%D1%80%D0%BE%D0%BF%D0%B0%D0%B3%D0%B0%D0%BD%D0%B4%D0%B0%20%D1%82%D0%BE%D0%BB%D0%B5%D1%80%D0%BD%D0%B0%D1%82%D0%BD%D0%BE%D1%81%D1%82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tov-gorod.ru/upload/medialibrary/c10/%D0%9A%D0%B0%D1%80%D0%B5%D0%BB%D0%B8%D1%8F%20%D0%9C%D0%B5%D1%82%D0%BE%D0%B4%D1%80%D0%B5%D0%BA%D0%BE%D0%BC%D0%B5%D0%BD%D0%B4%D0%B0%D1%86%D0%B8%D0%B8%20%D0%BF%D1%80%D0%BE%D1%84%D0%B8%D0%BB%D0%B0%D0%BA%D1%82%D0%B8%D0%BA%D0%B0%20%D1%8D%D0%BA%D1%81%D1%82%D1%80%D0%B5%D0%BC%D0%B8%D0%B7%D0%BC%D0%B0.pdf" TargetMode="External"/><Relationship Id="rId20" Type="http://schemas.openxmlformats.org/officeDocument/2006/relationships/hyperlink" Target="https://rostov-gorod.ru/upload/medialibrary/fa7/%D0%9D%D0%B5%D0%B4%D0%B5%D0%BB%D1%8F_%D0%BF%D1%80%D0%BE%D1%84%D0%B8%D0%BB%D0%B0%D0%BA%D1%82%D0%B8%D0%BA%D0%B8_%D1%8D%D0%BA%D1%81%D1%82%D1%80%D0%B5%D0%BC%D0%B8%D0%B7%D0%BC%D0%B0_2.pdf" TargetMode="External"/><Relationship Id="rId29" Type="http://schemas.openxmlformats.org/officeDocument/2006/relationships/hyperlink" Target="https://rostov-gorod.ru/upload/medialibrary/bb7/%D0%9D.%D0%94.%20%D0%A4%D0%B5%D0%B4%D0%B5%D1%80%D0%B0%D0%BB%D1%8C%D0%BD%D1%8B%D0%B9%20%D0%B7%D0%B0%D0%BA%D0%BE%D0%BD%20%D0%BE%D1%82%2025%20%D0%B8%D1%8E%D0%BB%D1%8F%202002%20%D0%B3.%20N%20114-%D0%A4%D0%97%20-%D0%9E%20%D0%BF%D1%80%D0%BE%D1%82%D0%B8%D0%B2%D0%BE%D0%B4%D0%B5%D0%B9%D1%8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h1ajgms.xn--p1ai/" TargetMode="External"/><Relationship Id="rId11" Type="http://schemas.openxmlformats.org/officeDocument/2006/relationships/hyperlink" Target="https://rostov-gorod.ru/upload/medialibrary/22c/Met-ter-1-2012.pdf" TargetMode="External"/><Relationship Id="rId24" Type="http://schemas.openxmlformats.org/officeDocument/2006/relationships/hyperlink" Target="https://rostov-gorod.ru/upload/medialibrary/4c7/%D0%A1%D0%B0%D1%80%D0%B0%D1%82%D0%BE%D0%B2%20%D0%AD%D0%BA%D1%81%D1%82%D1%80%D0%B5%D0%BC%D0%B8%D0%B7%D0%BC%20%D0%B2%20%D0%BC%D0%BE%D0%BB%D0%BE%D0%B4%D0%B5%D0%B6%D0%BD%D0%BE%D0%B9%20%D1%81%D1%80%D0%B5%D0%B4%D0%B5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s://rostov-gorod.ru/upload/medialibrary/c10/%D0%9A%D0%B0%D1%80%D0%B5%D0%BB%D0%B8%D1%8F%20%D0%9C%D0%B5%D1%82%D0%BE%D0%B4%D1%80%D0%B5%D0%BA%D0%BE%D0%BC%D0%B5%D0%BD%D0%B4%D0%B0%D1%86%D0%B8%D0%B8%20%D0%BF%D1%80%D0%BE%D1%84%D0%B8%D0%BB%D0%B0%D0%BA%D1%82%D0%B8%D0%BA%D0%B0%20%D1%8D%D0%BA%D1%81%D1%82%D1%80%D0%B5%D0%BC%D0%B8%D0%B7%D0%BC%D0%B0.pdf" TargetMode="External"/><Relationship Id="rId23" Type="http://schemas.openxmlformats.org/officeDocument/2006/relationships/hyperlink" Target="https://rostov-gorod.ru/upload/medialibrary/674/%D0%A0%D0%B5%D1%81%D0%BF%D1%83%D0%B1%D0%BB%D0%B8%D0%BA%D0%B0%20%D0%9A%D0%BE%D0%BC%D0%B8%20%D0%9F%D1%80%D0%BE%D1%84%D0%B8%D0%BB%D0%B0%D0%BA%D1%82%D0%B8%D0%BA%D0%B0%20%D1%8D%D0%BA%D1%81%D1%82%D1%80%D0%B5%D0%BC%D0%B8%D0%B7%D0%BC%D0%B0,%20%D0%BD%D0%B0%D1%86%D0%B8%D0%BE%D0%BD%D0%B0%D0%BB%D0%B8%D0%B7%D0%BC%D0%B0.pdf" TargetMode="External"/><Relationship Id="rId28" Type="http://schemas.openxmlformats.org/officeDocument/2006/relationships/hyperlink" Target="https://rostov-gorod.ru/upload/medialibrary/f01/%D0%9D.%D0%94.%20%D0%A4%D0%B5%D0%B4%D0%B5%D1%80%D0%B0%D0%BB%D1%8C%D0%BD%D1%8B%D0%B9%20%D0%B7%D0%B0%D0%BA%D0%BE%D0%BD%20%D0%BE%20%D0%BF%D1%80%D0%BE%D1%82%D0%B8%D0%B2%D0%BE%D0%B4%D0%B5%D0%B9%D1%81%D1%82%D0%B2%D0%B8%D0%B8%20%D1%82%D0%B5%D1%80%D1%80%D0%BE%D1%80%D0%B8%D0%B7%D0%BC%D1%83.pdf" TargetMode="External"/><Relationship Id="rId10" Type="http://schemas.openxmlformats.org/officeDocument/2006/relationships/hyperlink" Target="https://rostov-gorod.ru/upload/medialibrary/02a/liflets_k_deti_06.pdf" TargetMode="External"/><Relationship Id="rId19" Type="http://schemas.openxmlformats.org/officeDocument/2006/relationships/hyperlink" Target="https://rostov-gorod.ru/upload/medialibrary/c3b/-%D0%BD%D0%B0%20%D0%90%D0%A2%D0%9A%2028.03.2014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fsb.ru/" TargetMode="External"/><Relationship Id="rId9" Type="http://schemas.openxmlformats.org/officeDocument/2006/relationships/hyperlink" Target="http://vpc-vympel.ru/" TargetMode="External"/><Relationship Id="rId14" Type="http://schemas.openxmlformats.org/officeDocument/2006/relationships/hyperlink" Target="https://rostov-gorod.ru/upload/medialibrary/20c/%D0%90%D0%BB%D1%82%D0%B0%D0%B9%20%D0%BF%D1%80%D0%BE%D1%84%D0%B8%D0%BB%D0%B0%D1%82%D0%B8%D0%BA%D0%B0%20%D1%8D%D0%BA%D1%81%D1%82%D1%80%D0%B5%D0%BC%D0%B8%D0%B7%D0%BC%D0%B0.pdf" TargetMode="External"/><Relationship Id="rId22" Type="http://schemas.openxmlformats.org/officeDocument/2006/relationships/hyperlink" Target="https://rostov-gorod.ru/upload/medialibrary/325/%D0%9F%D1%80%D0%BE%D1%84%D0%B8%D0%BB%D0%B0%D0%BA%D1%82%D0%B8%D0%BA%D0%B0%20%D1%8D%D0%BA%D1%81%D1%82%D1%80%D0%B5%D0%BC%D0%B8%D0%B7%D0%BC%D0%B0%20%D0%B2%20%D0%BF%D0%BE%D0%B4%D1%80%D0%BE%D1%81%D1%82%D0%BA%D0%BE%D0%B2%D0%BE-%D0%BC%D0%BE%D0%BB%D0%BE%D0%B4%D0%B5%D0%B6%D0%BD%D0%BE%D0%B9%20%D1%81%D1%80%D0%B5%D0%B4%D0%B5.pdf" TargetMode="External"/><Relationship Id="rId27" Type="http://schemas.openxmlformats.org/officeDocument/2006/relationships/hyperlink" Target="https://rostov-gorod.ru/upload/medialibrary/398/%D0%9D.%D0%94.%20%D0%9A%D0%BE%D0%BC%D0%BF%D0%BB%D0%B5%D0%BA%D1%81%D0%BD%D1%8B%D0%B9%20%D0%BF%D0%BB%D0%B0%D0%BD%20%D0%B4%D0%BE%202025%20%D0%B3%D0%BE%D0%B4%D0%B0.pdf" TargetMode="External"/><Relationship Id="rId30" Type="http://schemas.openxmlformats.org/officeDocument/2006/relationships/hyperlink" Target="https://rostov-gorod.ru/upload/medialibrary/8c0/%D0%9D.%D0%94.%20%D0%9C%D0%B5%D1%82%D0%BE%D0%B4%D0%B8%D1%87%D0%B5%D1%81%D0%BA%D0%B8%D0%B5%20%D1%80%D0%B5%D0%BA%D0%BE%D0%BC%D0%B5%D0%BD%D0%B4%D0%B0%D1%86%D0%B8%D0%B8%20%D0%BF%D0%BE%20%D0%BF%D1%80%D0%BE%D1%84%D0%B8%D0%BB%D0%B0%D0%BA%D1%82%D0%B8%D0%BA%D0%B5%20%D0%B8%20%D0%BF%D1%80%D0%BE%D1%82%D0%B8%D0%B2%D0%BE%D0%B4%D0%B5%D0%B9%D1%81%D1%82%D0%B2%D0%B8%D1%8E%20%D1%8D%D0%BA%D1%81%D1%82%D1%80%D0%B5%D0%BC%D0%B8%D0%B7%D0%BC%D1%83%20%D0%B2%20%D0%BC%D0%BE%D0%BB%D0%BE%D0%B4%D0%B5%D0%B6%D0%BD%D0%BE%D0%B9%20%D1%81%D1%80%D0%B5%D0%B4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2020-05-07T08:05:00Z</dcterms:created>
  <dcterms:modified xsi:type="dcterms:W3CDTF">2020-05-07T08:07:00Z</dcterms:modified>
</cp:coreProperties>
</file>